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40" w:lineRule="auto"/>
        <w:jc w:val="center"/>
      </w:pPr>
      <w:r>
        <w:rPr>
          <w:rFonts w:ascii="Noto Serif" w:hAnsi="Noto Serif" w:eastAsia="Noto Serif"/>
          <w:b/>
          <w:i w:val="0"/>
          <w:color w:val="17324D"/>
          <w:sz w:val="37"/>
        </w:rPr>
        <w:t>MICHAEL A. JACOPELLE</w:t>
      </w:r>
    </w:p>
    <w:p>
      <w:pPr>
        <w:keepNext w:val="0"/>
        <w:spacing w:before="4" w:after="14" w:line="240" w:lineRule="auto"/>
        <w:jc w:val="center"/>
      </w:pPr>
      <w:r>
        <w:rPr>
          <w:rFonts w:ascii="Noto Sans" w:hAnsi="Noto Sans" w:eastAsia="Noto Sans"/>
          <w:b/>
          <w:i w:val="0"/>
          <w:color w:val="5A6470"/>
          <w:sz w:val="18"/>
        </w:rPr>
        <w:t>ATTORNEY  |  CIVIL LITIGATION</w:t>
      </w:r>
    </w:p>
    <w:p>
      <w:pPr>
        <w:keepNext w:val="0"/>
        <w:spacing w:before="0" w:after="40" w:line="240" w:lineRule="auto"/>
        <w:jc w:val="center"/>
      </w:pPr>
      <w:r>
        <w:rPr>
          <w:rFonts w:ascii="Noto Sans" w:hAnsi="Noto Sans" w:eastAsia="Noto Sans"/>
          <w:b w:val="0"/>
          <w:i w:val="0"/>
          <w:color w:val="1F2328"/>
          <w:sz w:val="17"/>
        </w:rPr>
        <w:t>Portland, Maine  |  865-951-6334  |  majacopelle@gmail.com  |  jacopellelaw.com</w:t>
      </w:r>
    </w:p>
    <w:p>
      <w:pPr>
        <w:keepNext/>
        <w:spacing w:before="70" w:after="40" w:line="240" w:lineRule="auto"/>
        <w:pBdr>
          <w:bottom w:val="single" w:sz="7" w:space="1" w:color="D9E1E8"/>
        </w:pBdr>
      </w:pPr>
      <w:r>
        <w:rPr>
          <w:rFonts w:ascii="Noto Sans" w:hAnsi="Noto Sans" w:eastAsia="Noto Sans"/>
          <w:b/>
          <w:i w:val="0"/>
          <w:color w:val="17324D"/>
          <w:sz w:val="18"/>
        </w:rPr>
        <w:t>PROFESSIONAL PROFILE</w:t>
      </w:r>
    </w:p>
    <w:p>
      <w:pPr>
        <w:keepNext w:val="0"/>
        <w:spacing w:before="0" w:after="16" w:line="245" w:lineRule="auto"/>
      </w:pPr>
      <w:r>
        <w:rPr>
          <w:rFonts w:ascii="Noto Sans" w:hAnsi="Noto Sans" w:eastAsia="Noto Sans"/>
          <w:b w:val="0"/>
          <w:i w:val="0"/>
          <w:color w:val="1F2328"/>
          <w:sz w:val="17"/>
        </w:rPr>
        <w:t>Kentucky-licensed attorney based in Portland, Maine, with Maine admission pending and litigation experience since 2021 across wrongful-death, personal-injury, insurance/UIM, criminal-defense, and related civil matters. Drafts pleadings, motions, discovery, affidavits, demands, and legal memoranda under supervising counsel; develops liability, damages, procedural, and settlement analyses; and brings additional enterprise-risk experience from a national property-and-casualty insurer.</w:t>
      </w:r>
    </w:p>
    <w:p>
      <w:pPr>
        <w:keepNext/>
        <w:spacing w:before="70" w:after="40" w:line="240" w:lineRule="auto"/>
        <w:pBdr>
          <w:bottom w:val="single" w:sz="7" w:space="1" w:color="D9E1E8"/>
        </w:pBdr>
      </w:pPr>
      <w:r>
        <w:rPr>
          <w:rFonts w:ascii="Noto Sans" w:hAnsi="Noto Sans" w:eastAsia="Noto Sans"/>
          <w:b/>
          <w:i w:val="0"/>
          <w:color w:val="17324D"/>
          <w:sz w:val="18"/>
        </w:rPr>
        <w:t>BAR ADMISSIONS &amp; CORE STRENGTHS</w:t>
      </w:r>
    </w:p>
    <w:p>
      <w:pPr>
        <w:keepNext w:val="0"/>
        <w:spacing w:before="0" w:after="10" w:line="240" w:lineRule="auto"/>
      </w:pPr>
      <w:r>
        <w:rPr>
          <w:rFonts w:ascii="Noto Sans" w:hAnsi="Noto Sans" w:eastAsia="Noto Sans"/>
          <w:b/>
          <w:i w:val="0"/>
          <w:color w:val="1F2328"/>
          <w:sz w:val="17"/>
        </w:rPr>
        <w:t>Kentucky - Active and in Good Standing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 xml:space="preserve">  |  Maine - Admission Application Pending</w:t>
      </w:r>
    </w:p>
    <w:p>
      <w:pPr>
        <w:keepNext w:val="0"/>
        <w:spacing w:before="0" w:after="16" w:line="240" w:lineRule="auto"/>
      </w:pPr>
      <w:r>
        <w:rPr>
          <w:rFonts w:ascii="Noto Sans" w:hAnsi="Noto Sans" w:eastAsia="Noto Sans"/>
          <w:b w:val="0"/>
          <w:i w:val="0"/>
          <w:color w:val="1F2328"/>
          <w:sz w:val="17"/>
        </w:rPr>
        <w:t>Civil Litigation  |  Pleadings, Motions &amp; Discovery  |  Legal Research &amp; Writing  |  Wrongful Death &amp; Personal Injury  |  Insurance/UIM  |  Client Interviews  |  Evidence &amp; Record Analysis  |  Settlement Strategy</w:t>
      </w:r>
    </w:p>
    <w:p>
      <w:pPr>
        <w:keepNext/>
        <w:spacing w:before="70" w:after="40" w:line="240" w:lineRule="auto"/>
        <w:pBdr>
          <w:bottom w:val="single" w:sz="7" w:space="1" w:color="D9E1E8"/>
        </w:pBdr>
      </w:pPr>
      <w:r>
        <w:rPr>
          <w:rFonts w:ascii="Noto Sans" w:hAnsi="Noto Sans" w:eastAsia="Noto Sans"/>
          <w:b/>
          <w:i w:val="0"/>
          <w:color w:val="17324D"/>
          <w:sz w:val="18"/>
        </w:rPr>
        <w:t>LITIGATION &amp; LEGAL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68"/>
        <w:gridCol w:w="1656"/>
      </w:tblGrid>
      <w:t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Noto Serif" w:hAnsi="Noto Serif" w:eastAsia="Noto Serif"/>
                <w:b/>
                <w:i w:val="0"/>
                <w:color w:val="1F2328"/>
                <w:sz w:val="19"/>
              </w:rPr>
              <w:t>Tim Williams Law Office</w:t>
            </w:r>
            <w:r>
              <w:rPr>
                <w:rFonts w:ascii="Noto Sans" w:hAnsi="Noto Sans" w:eastAsia="Noto Sans"/>
                <w:b w:val="0"/>
                <w:i w:val="0"/>
                <w:color w:val="5A6470"/>
                <w:sz w:val="17"/>
              </w:rPr>
              <w:t xml:space="preserve"> | Memphis, Tennessee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Noto Sans" w:hAnsi="Noto Sans" w:eastAsia="Noto Sans"/>
                <w:b/>
                <w:i w:val="0"/>
                <w:color w:val="5A6470"/>
                <w:sz w:val="17"/>
              </w:rPr>
              <w:t>2021-Present</w:t>
            </w:r>
          </w:p>
        </w:tc>
      </w:tr>
    </w:tbl>
    <w:p>
      <w:pPr>
        <w:keepNext w:val="0"/>
        <w:spacing w:before="0" w:after="14" w:line="240" w:lineRule="auto"/>
      </w:pPr>
      <w:r>
        <w:rPr>
          <w:rFonts w:ascii="Noto Sans" w:hAnsi="Noto Sans" w:eastAsia="Noto Sans"/>
          <w:b w:val="0"/>
          <w:i/>
          <w:color w:val="5A6470"/>
          <w:sz w:val="17"/>
        </w:rPr>
        <w:t>Litigation Law Clerk / Legal Consultant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Draft filing-ready pleadings, motions, discovery requests and responses, legal memoranda, affidavits, demands, and other work product under supervising counsel in civil and criminal matters.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Analyze liability, causation, damages, defenses, jurisdiction, procedural posture, evidentiary gaps, and settlement considerations in wrongful-death, personal-injury, insurance/UIM, punitive-damages, and related matters.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Interview clients, review records and evidence, build chronologies, identify decisive factual and legal issues, and prepare counsel for negotiations, briefing, motion practice, and other case milestones.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Recent work includes drafting a sur-response opposing intervention, disqualification, and substitution in a wrongful-death action, applying Tennessee Rule 24 and wrongful-death priority, control, and distribution law.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68"/>
        <w:gridCol w:w="1656"/>
      </w:tblGrid>
      <w:t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Noto Serif" w:hAnsi="Noto Serif" w:eastAsia="Noto Serif"/>
                <w:b/>
                <w:i w:val="0"/>
                <w:color w:val="1F2328"/>
                <w:sz w:val="19"/>
              </w:rPr>
              <w:t>Shelby County Public Defender's Office</w:t>
            </w:r>
            <w:r>
              <w:rPr>
                <w:rFonts w:ascii="Noto Sans" w:hAnsi="Noto Sans" w:eastAsia="Noto Sans"/>
                <w:b w:val="0"/>
                <w:i w:val="0"/>
                <w:color w:val="5A6470"/>
                <w:sz w:val="17"/>
              </w:rPr>
              <w:t xml:space="preserve"> | Memphis, Tennessee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Noto Sans" w:hAnsi="Noto Sans" w:eastAsia="Noto Sans"/>
                <w:b/>
                <w:i w:val="0"/>
                <w:color w:val="5A6470"/>
                <w:sz w:val="17"/>
              </w:rPr>
              <w:t>2022-2023</w:t>
            </w:r>
          </w:p>
        </w:tc>
      </w:tr>
    </w:tbl>
    <w:p>
      <w:pPr>
        <w:keepNext w:val="0"/>
        <w:spacing w:before="0" w:after="14" w:line="240" w:lineRule="auto"/>
      </w:pPr>
      <w:r>
        <w:rPr>
          <w:rFonts w:ascii="Noto Sans" w:hAnsi="Noto Sans" w:eastAsia="Noto Sans"/>
          <w:b w:val="0"/>
          <w:i/>
          <w:color w:val="5A6470"/>
          <w:sz w:val="17"/>
        </w:rPr>
        <w:t>Legal Extern - Criminal Defense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Conducted client interviews, reviewed evidence, researched constitutional/criminal/procedural issues, and drafted motions, memoranda, expungement petitions, and court filings under attorney supervision.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68"/>
        <w:gridCol w:w="1656"/>
      </w:tblGrid>
      <w:t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Noto Serif" w:hAnsi="Noto Serif" w:eastAsia="Noto Serif"/>
                <w:b/>
                <w:i w:val="0"/>
                <w:color w:val="1F2328"/>
                <w:sz w:val="19"/>
              </w:rPr>
              <w:t>Russell, Oliver &amp; Stephens</w:t>
            </w:r>
            <w:r>
              <w:rPr>
                <w:rFonts w:ascii="Noto Sans" w:hAnsi="Noto Sans" w:eastAsia="Noto Sans"/>
                <w:b w:val="0"/>
                <w:i w:val="0"/>
                <w:color w:val="5A6470"/>
                <w:sz w:val="17"/>
              </w:rPr>
              <w:t xml:space="preserve"> | Memphis, Tennessee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Noto Sans" w:hAnsi="Noto Sans" w:eastAsia="Noto Sans"/>
                <w:b/>
                <w:i w:val="0"/>
                <w:color w:val="5A6470"/>
                <w:sz w:val="17"/>
              </w:rPr>
              <w:t>2022</w:t>
            </w:r>
          </w:p>
        </w:tc>
      </w:tr>
    </w:tbl>
    <w:p>
      <w:pPr>
        <w:keepNext w:val="0"/>
        <w:spacing w:before="0" w:after="14" w:line="240" w:lineRule="auto"/>
      </w:pPr>
      <w:r>
        <w:rPr>
          <w:rFonts w:ascii="Noto Sans" w:hAnsi="Noto Sans" w:eastAsia="Noto Sans"/>
          <w:b w:val="0"/>
          <w:i/>
          <w:color w:val="5A6470"/>
          <w:sz w:val="17"/>
        </w:rPr>
        <w:t>Legal Analyst - Healthcare &amp; ERISA Subrogation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Analyzed recovery rights, liens, plan language, and claims documentation in healthcare-subrogation matters under self-funded ERISA and multi-jurisdictional benefit plans.</w:t>
      </w:r>
    </w:p>
    <w:p>
      <w:pPr>
        <w:keepNext/>
        <w:spacing w:before="70" w:after="40" w:line="240" w:lineRule="auto"/>
        <w:pBdr>
          <w:bottom w:val="single" w:sz="7" w:space="1" w:color="D9E1E8"/>
        </w:pBdr>
      </w:pPr>
      <w:r>
        <w:rPr>
          <w:rFonts w:ascii="Noto Sans" w:hAnsi="Noto Sans" w:eastAsia="Noto Sans"/>
          <w:b/>
          <w:i w:val="0"/>
          <w:color w:val="17324D"/>
          <w:sz w:val="18"/>
        </w:rPr>
        <w:t>INSURANCE &amp; ENTERPRISE RISK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68"/>
        <w:gridCol w:w="1656"/>
      </w:tblGrid>
      <w:t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Noto Serif" w:hAnsi="Noto Serif" w:eastAsia="Noto Serif"/>
                <w:b/>
                <w:i w:val="0"/>
                <w:color w:val="1F2328"/>
                <w:sz w:val="19"/>
              </w:rPr>
              <w:t>CSAA Insurance Group (AAA)</w:t>
            </w:r>
            <w:r>
              <w:rPr>
                <w:rFonts w:ascii="Noto Sans" w:hAnsi="Noto Sans" w:eastAsia="Noto Sans"/>
                <w:b w:val="0"/>
                <w:i w:val="0"/>
                <w:color w:val="5A6470"/>
                <w:sz w:val="17"/>
              </w:rPr>
              <w:t xml:space="preserve"> | Remote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Noto Sans" w:hAnsi="Noto Sans" w:eastAsia="Noto Sans"/>
                <w:b/>
                <w:i w:val="0"/>
                <w:color w:val="5A6470"/>
                <w:sz w:val="17"/>
              </w:rPr>
              <w:t>2025-2026</w:t>
            </w:r>
          </w:p>
        </w:tc>
      </w:tr>
    </w:tbl>
    <w:p>
      <w:pPr>
        <w:keepNext w:val="0"/>
        <w:spacing w:before="0" w:after="14" w:line="240" w:lineRule="auto"/>
      </w:pPr>
      <w:r>
        <w:rPr>
          <w:rFonts w:ascii="Noto Sans" w:hAnsi="Noto Sans" w:eastAsia="Noto Sans"/>
          <w:b w:val="0"/>
          <w:i/>
          <w:color w:val="5A6470"/>
          <w:sz w:val="17"/>
        </w:rPr>
        <w:t>Third-Party Risk Manager, Enterprise Risk Management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Managed enterprise third-party risk assessments within a regulated property-and-casualty insurer across legal, regulatory, cybersecurity, privacy, operational, resiliency, and reputational exposures.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Produced concise findings and decision-ready recommendations; partnered with Legal, Information Security, Privacy, Procurement, Technology, and business teams on remediation and risk acceptance.</w:t>
      </w:r>
    </w:p>
    <w:p>
      <w:pPr>
        <w:keepNext w:val="0"/>
        <w:spacing w:before="0" w:after="16" w:line="242" w:lineRule="auto"/>
        <w:ind w:left="187" w:hanging="144"/>
      </w:pPr>
      <w:r>
        <w:rPr>
          <w:rFonts w:ascii="Noto Sans" w:hAnsi="Noto Sans" w:eastAsia="Noto Sans"/>
          <w:b/>
          <w:i w:val="0"/>
          <w:color w:val="17324D"/>
          <w:sz w:val="17"/>
        </w:rPr>
        <w:t xml:space="preserve">• </w:t>
      </w:r>
      <w:r>
        <w:rPr>
          <w:rFonts w:ascii="Noto Sans" w:hAnsi="Noto Sans" w:eastAsia="Noto Sans"/>
          <w:b w:val="0"/>
          <w:i w:val="0"/>
          <w:color w:val="1F2328"/>
          <w:sz w:val="17"/>
        </w:rPr>
        <w:t>Co-designed CSAA's third-party AI risk domain and assessment process, including an AI-focused vendor questionnaire and review methodology addressing data use, model governance, security, privacy, regulatory, and operational controls.</w:t>
      </w:r>
    </w:p>
    <w:p>
      <w:pPr>
        <w:keepNext/>
        <w:spacing w:before="70" w:after="40" w:line="240" w:lineRule="auto"/>
        <w:pBdr>
          <w:bottom w:val="single" w:sz="7" w:space="1" w:color="D9E1E8"/>
        </w:pBdr>
      </w:pPr>
      <w:r>
        <w:rPr>
          <w:rFonts w:ascii="Noto Sans" w:hAnsi="Noto Sans" w:eastAsia="Noto Sans"/>
          <w:b/>
          <w:i w:val="0"/>
          <w:color w:val="17324D"/>
          <w:sz w:val="18"/>
        </w:rPr>
        <w:t>EDUCATION</w:t>
      </w:r>
    </w:p>
    <w:p>
      <w:pPr>
        <w:keepNext w:val="0"/>
        <w:spacing w:before="0" w:after="6" w:line="240" w:lineRule="auto"/>
      </w:pPr>
      <w:r>
        <w:rPr>
          <w:rFonts w:ascii="Noto Serif" w:hAnsi="Noto Serif" w:eastAsia="Noto Serif"/>
          <w:b/>
          <w:i w:val="0"/>
          <w:color w:val="1F2328"/>
          <w:sz w:val="18"/>
        </w:rPr>
        <w:t>University of Memphis, Cecil C. Humphreys School of Law</w:t>
      </w:r>
      <w:r>
        <w:rPr>
          <w:rFonts w:ascii="Noto Sans" w:hAnsi="Noto Sans" w:eastAsia="Noto Sans"/>
          <w:b/>
          <w:i w:val="0"/>
          <w:color w:val="5A6470"/>
          <w:sz w:val="17"/>
        </w:rPr>
        <w:t xml:space="preserve"> | J.D., 2023</w:t>
      </w:r>
    </w:p>
    <w:p>
      <w:pPr>
        <w:keepNext w:val="0"/>
        <w:spacing w:before="0" w:after="11" w:line="240" w:lineRule="auto"/>
      </w:pPr>
      <w:r>
        <w:rPr>
          <w:rFonts w:ascii="Noto Sans" w:hAnsi="Noto Sans" w:eastAsia="Noto Sans"/>
          <w:b w:val="0"/>
          <w:i w:val="0"/>
          <w:color w:val="1F2328"/>
          <w:sz w:val="17"/>
        </w:rPr>
        <w:t>CALI Award - Contracts II  |  Top 10 Oral Advocate  |  Mock Trial Semifinalist  |  Distinguished Pro Bono Service</w:t>
      </w:r>
    </w:p>
    <w:p>
      <w:pPr>
        <w:keepNext w:val="0"/>
        <w:spacing w:before="0" w:after="2" w:line="240" w:lineRule="auto"/>
      </w:pPr>
      <w:r>
        <w:rPr>
          <w:rFonts w:ascii="Noto Serif" w:hAnsi="Noto Serif" w:eastAsia="Noto Serif"/>
          <w:b/>
          <w:i w:val="0"/>
          <w:color w:val="1F2328"/>
          <w:sz w:val="18"/>
        </w:rPr>
        <w:t>Middle Tennessee State University</w:t>
      </w:r>
      <w:r>
        <w:rPr>
          <w:rFonts w:ascii="Noto Sans" w:hAnsi="Noto Sans" w:eastAsia="Noto Sans"/>
          <w:b/>
          <w:i w:val="0"/>
          <w:color w:val="5A6470"/>
          <w:sz w:val="17"/>
        </w:rPr>
        <w:t xml:space="preserve"> | B.A., History, 2019  |  GPA 3.88  |  Dean's List (four terms)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547" w:right="792" w:bottom="547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rPr>
        <w:rFonts w:ascii="Noto Sans" w:hAnsi="Noto Sans" w:eastAsia="Noto Sans"/>
        <w:b w:val="0"/>
        <w:i w:val="0"/>
        <w:color w:val="5A6470"/>
        <w:sz w:val="15"/>
      </w:rPr>
      <w:t>Michael A. Jacopelle  |  majacopelle@gmail.com  |  jacopellelaw.com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" w:hAnsi="Noto Sans" w:eastAsia="Noto San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